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561"/>
        <w:tblOverlap w:val="never"/>
        <w:tblW w:w="10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884"/>
        <w:gridCol w:w="1134"/>
        <w:gridCol w:w="1134"/>
        <w:gridCol w:w="573"/>
        <w:gridCol w:w="561"/>
        <w:gridCol w:w="1134"/>
        <w:gridCol w:w="1134"/>
        <w:gridCol w:w="1134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2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贵州中医药大学时珍学院资产盘点差异表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部门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实盘数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台账数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差异数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金额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差异原因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部门负责人确认签字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51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</w:pP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盘点人：</w:t>
            </w:r>
          </w:p>
          <w:p>
            <w:pPr>
              <w:bidi w:val="0"/>
            </w:pPr>
            <w:r>
              <w:rPr>
                <w:rFonts w:hint="eastAsia"/>
              </w:rPr>
              <w:t>盘点日期：</w:t>
            </w:r>
          </w:p>
        </w:tc>
        <w:tc>
          <w:tcPr>
            <w:tcW w:w="51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审核日期：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5E1C685D"/>
    <w:rsid w:val="5E1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2024-04-11T11:36:00Z</dcterms:created>
  <dc:creator>nmmn</dc:creator>
  <cp:lastModifiedBy>nmmn</cp:lastModifiedBy>
  <dcterms:modified xsi:type="dcterms:W3CDTF">2024-04-11T11:37:06Z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88D379E25AB140EFA26420B2336A2313_11</vt:lpwstr>
  </property>
</Properties>
</file>