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贵州中医药大学时珍学院低值易耗品申购表</w:t>
      </w:r>
    </w:p>
    <w:tbl>
      <w:tblPr>
        <w:tblStyle w:val="3"/>
        <w:tblW w:w="9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21"/>
        <w:gridCol w:w="1396"/>
        <w:gridCol w:w="1843"/>
        <w:gridCol w:w="1416"/>
        <w:gridCol w:w="2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型号</w:t>
            </w:r>
            <w:r>
              <w:t>/</w:t>
            </w:r>
            <w:r>
              <w:rPr>
                <w:rFonts w:hint="eastAsia"/>
              </w:rPr>
              <w:t>配置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预计单价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预计金额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  <w:r>
              <w:t>申购原由：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.更换原因</w:t>
            </w:r>
          </w:p>
        </w:tc>
        <w:tc>
          <w:tcPr>
            <w:tcW w:w="66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.新增原因</w:t>
            </w:r>
          </w:p>
        </w:tc>
        <w:tc>
          <w:tcPr>
            <w:tcW w:w="66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  <w:r>
              <w:t>3</w:t>
            </w:r>
            <w:r>
              <w:rPr>
                <w:rFonts w:hint="eastAsia"/>
              </w:rPr>
              <w:t>.其他</w:t>
            </w:r>
          </w:p>
        </w:tc>
        <w:tc>
          <w:tcPr>
            <w:tcW w:w="6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部门负责人审批</w:t>
            </w:r>
          </w:p>
        </w:tc>
        <w:tc>
          <w:tcPr>
            <w:tcW w:w="66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实验室与资产管理办公室审核</w:t>
            </w:r>
          </w:p>
        </w:tc>
        <w:tc>
          <w:tcPr>
            <w:tcW w:w="66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计划财务处审核</w:t>
            </w:r>
          </w:p>
        </w:tc>
        <w:tc>
          <w:tcPr>
            <w:tcW w:w="669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分管院领导审批</w:t>
            </w:r>
          </w:p>
        </w:tc>
        <w:tc>
          <w:tcPr>
            <w:tcW w:w="669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1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  <w:tc>
          <w:tcPr>
            <w:tcW w:w="669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63EA69C6"/>
    <w:rsid w:val="63E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2024-04-11T11:40:00Z</dcterms:created>
  <dc:creator>nmmn</dc:creator>
  <cp:lastModifiedBy>nmmn</cp:lastModifiedBy>
  <dcterms:modified xsi:type="dcterms:W3CDTF">2024-04-11T11:41:02Z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ECD1AB3DB73243CB80A6575BA81D4C61_11</vt:lpwstr>
  </property>
</Properties>
</file>